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573" w:rsidRPr="00A31573" w:rsidRDefault="00A31573" w:rsidP="00A31573">
      <w:pPr>
        <w:shd w:val="clear" w:color="auto" w:fill="ECEDEE"/>
        <w:spacing w:before="59" w:after="59" w:line="240" w:lineRule="auto"/>
        <w:jc w:val="center"/>
        <w:outlineLvl w:val="0"/>
        <w:rPr>
          <w:rFonts w:ascii="Tahoma" w:eastAsia="Times New Roman" w:hAnsi="Tahoma" w:cs="Tahoma"/>
          <w:color w:val="6D7274"/>
          <w:kern w:val="36"/>
          <w:sz w:val="30"/>
          <w:szCs w:val="30"/>
          <w:lang w:val="en-US" w:eastAsia="ru-RU"/>
        </w:rPr>
      </w:pPr>
      <w:r w:rsidRPr="00A31573">
        <w:rPr>
          <w:rFonts w:ascii="Arial" w:eastAsia="Times New Roman" w:hAnsi="Arial" w:cs="Arial"/>
          <w:b/>
          <w:bCs/>
          <w:color w:val="000000"/>
          <w:kern w:val="36"/>
          <w:sz w:val="23"/>
          <w:szCs w:val="23"/>
          <w:lang w:val="en-US" w:eastAsia="ru-RU"/>
        </w:rPr>
        <w:t>Răspunderea angajatorului pentru încălcarea cerințelor privind securitatea și sănătatea în muncă</w:t>
      </w:r>
    </w:p>
    <w:tbl>
      <w:tblPr>
        <w:tblW w:w="10799" w:type="dxa"/>
        <w:tblCellSpacing w:w="7" w:type="dxa"/>
        <w:tblInd w:w="-1090" w:type="dxa"/>
        <w:tblBorders>
          <w:top w:val="outset" w:sz="6" w:space="0" w:color="auto"/>
          <w:left w:val="outset" w:sz="6" w:space="0" w:color="auto"/>
          <w:bottom w:val="outset" w:sz="6" w:space="0" w:color="auto"/>
          <w:right w:val="outset" w:sz="6" w:space="0" w:color="auto"/>
        </w:tblBorders>
        <w:shd w:val="clear" w:color="auto" w:fill="ECEDEE"/>
        <w:tblCellMar>
          <w:top w:w="15" w:type="dxa"/>
          <w:left w:w="15" w:type="dxa"/>
          <w:bottom w:w="15" w:type="dxa"/>
          <w:right w:w="15" w:type="dxa"/>
        </w:tblCellMar>
        <w:tblLook w:val="04A0"/>
      </w:tblPr>
      <w:tblGrid>
        <w:gridCol w:w="240"/>
        <w:gridCol w:w="6281"/>
        <w:gridCol w:w="1572"/>
        <w:gridCol w:w="2706"/>
      </w:tblGrid>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hd w:val="clear" w:color="auto" w:fill="ECEDEE"/>
              <w:spacing w:before="59" w:after="59" w:line="240" w:lineRule="auto"/>
              <w:jc w:val="both"/>
              <w:rPr>
                <w:rFonts w:ascii="Tahoma" w:eastAsia="Times New Roman" w:hAnsi="Tahoma" w:cs="Tahoma"/>
                <w:color w:val="6D7274"/>
                <w:lang w:val="en-US" w:eastAsia="ru-RU"/>
              </w:rPr>
            </w:pPr>
            <w:r w:rsidRPr="00A31573">
              <w:rPr>
                <w:rFonts w:ascii="Tahoma" w:eastAsia="Times New Roman" w:hAnsi="Tahoma" w:cs="Tahoma"/>
                <w:color w:val="6D7274"/>
                <w:lang w:val="en-US" w:eastAsia="ru-RU"/>
              </w:rPr>
              <w:t> </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after="0" w:line="240" w:lineRule="auto"/>
              <w:jc w:val="center"/>
              <w:outlineLvl w:val="1"/>
              <w:rPr>
                <w:rFonts w:ascii="Tahoma" w:eastAsia="Times New Roman" w:hAnsi="Tahoma" w:cs="Tahoma"/>
                <w:color w:val="6D7274"/>
                <w:sz w:val="25"/>
                <w:szCs w:val="25"/>
                <w:lang w:eastAsia="ru-RU"/>
              </w:rPr>
            </w:pPr>
            <w:r w:rsidRPr="00A31573">
              <w:rPr>
                <w:rFonts w:ascii="Arial" w:eastAsia="Times New Roman" w:hAnsi="Arial" w:cs="Arial"/>
                <w:b/>
                <w:bCs/>
                <w:color w:val="000000"/>
                <w:sz w:val="19"/>
                <w:lang w:eastAsia="ru-RU"/>
              </w:rPr>
              <w:t>Prevederea din actul normativ</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after="0" w:line="240" w:lineRule="auto"/>
              <w:jc w:val="center"/>
              <w:outlineLvl w:val="1"/>
              <w:rPr>
                <w:rFonts w:ascii="Tahoma" w:eastAsia="Times New Roman" w:hAnsi="Tahoma" w:cs="Tahoma"/>
                <w:color w:val="6D7274"/>
                <w:sz w:val="25"/>
                <w:szCs w:val="25"/>
                <w:lang w:eastAsia="ru-RU"/>
              </w:rPr>
            </w:pPr>
            <w:r w:rsidRPr="00A31573">
              <w:rPr>
                <w:rFonts w:ascii="Arial" w:eastAsia="Times New Roman" w:hAnsi="Arial" w:cs="Arial"/>
                <w:b/>
                <w:bCs/>
                <w:color w:val="000000"/>
                <w:sz w:val="19"/>
                <w:lang w:eastAsia="ru-RU"/>
              </w:rPr>
              <w:t>Act normativ</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after="0" w:line="240" w:lineRule="auto"/>
              <w:jc w:val="center"/>
              <w:outlineLvl w:val="1"/>
              <w:rPr>
                <w:rFonts w:ascii="Tahoma" w:eastAsia="Times New Roman" w:hAnsi="Tahoma" w:cs="Tahoma"/>
                <w:color w:val="6D7274"/>
                <w:sz w:val="25"/>
                <w:szCs w:val="25"/>
                <w:lang w:eastAsia="ru-RU"/>
              </w:rPr>
            </w:pPr>
            <w:r w:rsidRPr="00A31573">
              <w:rPr>
                <w:rFonts w:ascii="Arial" w:eastAsia="Times New Roman" w:hAnsi="Arial" w:cs="Arial"/>
                <w:b/>
                <w:bCs/>
                <w:color w:val="000000"/>
                <w:sz w:val="19"/>
                <w:lang w:eastAsia="ru-RU"/>
              </w:rPr>
              <w:t>Articol</w:t>
            </w:r>
          </w:p>
        </w:tc>
      </w:tr>
      <w:tr w:rsidR="00A31573" w:rsidRPr="00A31573" w:rsidTr="00A31573">
        <w:trPr>
          <w:tblCellSpacing w:w="7" w:type="dxa"/>
        </w:trPr>
        <w:tc>
          <w:tcPr>
            <w:tcW w:w="10771" w:type="dxa"/>
            <w:gridSpan w:val="4"/>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1"/>
              <w:rPr>
                <w:rFonts w:ascii="Tahoma" w:eastAsia="Times New Roman" w:hAnsi="Tahoma" w:cs="Tahoma"/>
                <w:color w:val="6D7274"/>
                <w:sz w:val="25"/>
                <w:szCs w:val="25"/>
                <w:lang w:eastAsia="ru-RU"/>
              </w:rPr>
            </w:pPr>
            <w:r w:rsidRPr="00A31573">
              <w:rPr>
                <w:rFonts w:ascii="Arial" w:eastAsia="Times New Roman" w:hAnsi="Arial" w:cs="Arial"/>
                <w:b/>
                <w:bCs/>
                <w:color w:val="FF0000"/>
                <w:sz w:val="19"/>
                <w:szCs w:val="19"/>
                <w:lang w:eastAsia="ru-RU"/>
              </w:rPr>
              <w:t>Răspunderea administrativă</w:t>
            </w:r>
          </w:p>
        </w:tc>
      </w:tr>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eastAsia="ru-RU"/>
              </w:rPr>
            </w:pPr>
            <w:r w:rsidRPr="00A31573">
              <w:rPr>
                <w:rFonts w:ascii="Arial" w:eastAsia="Times New Roman" w:hAnsi="Arial" w:cs="Arial"/>
                <w:b/>
                <w:bCs/>
                <w:color w:val="6D7274"/>
                <w:sz w:val="16"/>
                <w:lang w:eastAsia="ru-RU"/>
              </w:rPr>
              <w:t>►</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(1) Încălcarea legislației muncii, manifestată prin:</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 nerespectarea de către angajator a duratei normale a timpului de muncă;</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b) atragerea la muncă suplimentară, în zilele de repaus și de sărbătoare nelucrătoare în lipsa acordului scris al salariatului;</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c) refuzul angajatorului de a acorda pauze suplimentare pentru alimentarea copilului;</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d) refuzul angajatorului de a acorda concedii anuale de odihnă potrivit modului stabilit de lege;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e) refuzul angajatorului de a acorda concedii sociale, de studii, garantate de lege;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f) efectuarea reținerilor neîntemeiate din salariu;</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g) neacordarea garanțiilor și a compensațiilor prevăzute de lege;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h) refuzul angajatorului de a elibera certificatul cu privire la muncă și salariu,</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se sancționează cu amendă de la 30 la 60 de unităţi convenţionale aplicată persoanei fizice, cu amendă de la 70 la 120 de unități convenționale aplicată persoanei cu funcție de răspundere, cu amendă de la 150 la 240 de unități convenționale aplicată persoanei juridice.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(2) Aceleași încălcări săvîrșite asupra minorului se sancționează cu amendă de la 50 la 80 de unităţi convenţionale aplicată persoanei fizice, cu amendă de la 100 la 140 de unități convenționale aplicată persoanei cu funcție de răspundere, cu amendă de la 200 la 300 de unități convenționale aplicată persoanei juridice.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(3) Încălcarea legislației muncii, manifestată prin:</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 prestarea muncii de către o persoană fără a avea încheiat un contract individual de munca în formă scrisă;</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b) stabilirea și achitarea unui salariu sub nivelul minim garantat de stat sau stabilit prin contractul colectiv/ convenția de muncă;</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c) neretribuirea muncii suplimentare, a muncii prestate în zilele de repaus și de sărbătoare nelucrătoare și/sau a muncii de noapte;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d) neachitarea adaosurilor, a sporurilor, a plăților de compensare, inclusiv a premiilor prevăzute de lege, de regulamentele aprobate de angajator, de contractul colectiv/convenția de muncă, de contractul individual de muncă,</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se sancționează cu amendă de la 70 la 120 de unităţi convenţionale aplicată persoanei fizice, cu amendă de la 150 la 240 de unități convenționale aplicată persoanei cu funcție de răspundere, cu amendă de la 260 la 400 de unități convenționale aplicată persoanei juridice.”</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hyperlink r:id="rId4" w:history="1">
              <w:r w:rsidRPr="00A31573">
                <w:rPr>
                  <w:rFonts w:ascii="Arial" w:eastAsia="Times New Roman" w:hAnsi="Arial" w:cs="Arial"/>
                  <w:b/>
                  <w:bCs/>
                  <w:color w:val="0A8FCC"/>
                  <w:sz w:val="16"/>
                  <w:lang w:eastAsia="ru-RU"/>
                </w:rPr>
                <w:t>Codul Contravențional al RM</w:t>
              </w:r>
            </w:hyperlink>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eastAsia="ru-RU"/>
              </w:rPr>
            </w:pPr>
            <w:r w:rsidRPr="00A31573">
              <w:rPr>
                <w:rFonts w:ascii="Arial" w:eastAsia="Times New Roman" w:hAnsi="Arial" w:cs="Arial"/>
                <w:b/>
                <w:bCs/>
                <w:color w:val="000000"/>
                <w:sz w:val="16"/>
                <w:lang w:eastAsia="ru-RU"/>
              </w:rPr>
              <w:t>Art. 55 Încălcarea legislaţiei muncii</w:t>
            </w:r>
          </w:p>
        </w:tc>
      </w:tr>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eastAsia="ru-RU"/>
              </w:rPr>
            </w:pPr>
            <w:r w:rsidRPr="00A31573">
              <w:rPr>
                <w:rFonts w:ascii="Arial" w:eastAsia="Times New Roman" w:hAnsi="Arial" w:cs="Arial"/>
                <w:b/>
                <w:bCs/>
                <w:color w:val="6D7274"/>
                <w:sz w:val="16"/>
                <w:lang w:eastAsia="ru-RU"/>
              </w:rPr>
              <w:t>►</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Utilizarea muncii nedeclarate se sancţionează pentru fiecare persoană identificată cu amendă de la 60 la 90 de unităţi convenţionale aplicată persoanei fizice, cu amendă de la 150 la 210 de unităţi convenţionale aplicată persoanei cu funcţie de răspundere, cu amendă de la 210 la 300 de unităţi convenţionale aplicată persoanei juridice.</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hyperlink r:id="rId5" w:history="1">
              <w:r w:rsidRPr="00A31573">
                <w:rPr>
                  <w:rFonts w:ascii="Arial" w:eastAsia="Times New Roman" w:hAnsi="Arial" w:cs="Arial"/>
                  <w:b/>
                  <w:bCs/>
                  <w:color w:val="0A8FCC"/>
                  <w:sz w:val="16"/>
                  <w:lang w:eastAsia="ru-RU"/>
                </w:rPr>
                <w:t>Codul Contravențional al RM</w:t>
              </w:r>
            </w:hyperlink>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eastAsia="ru-RU"/>
              </w:rPr>
            </w:pPr>
            <w:r w:rsidRPr="00A31573">
              <w:rPr>
                <w:rFonts w:ascii="Arial" w:eastAsia="Times New Roman" w:hAnsi="Arial" w:cs="Arial"/>
                <w:b/>
                <w:bCs/>
                <w:color w:val="000000"/>
                <w:sz w:val="16"/>
                <w:lang w:eastAsia="ru-RU"/>
              </w:rPr>
              <w:t>Articolul 55</w:t>
            </w:r>
            <w:r w:rsidRPr="00A31573">
              <w:rPr>
                <w:rFonts w:ascii="Arial" w:eastAsia="Times New Roman" w:hAnsi="Arial" w:cs="Arial"/>
                <w:b/>
                <w:bCs/>
                <w:color w:val="000000"/>
                <w:sz w:val="16"/>
                <w:vertAlign w:val="superscript"/>
                <w:lang w:eastAsia="ru-RU"/>
              </w:rPr>
              <w:t>1</w:t>
            </w:r>
            <w:r w:rsidRPr="00A31573">
              <w:rPr>
                <w:rFonts w:ascii="Arial" w:eastAsia="Times New Roman" w:hAnsi="Arial" w:cs="Arial"/>
                <w:b/>
                <w:bCs/>
                <w:color w:val="000000"/>
                <w:sz w:val="16"/>
                <w:lang w:eastAsia="ru-RU"/>
              </w:rPr>
              <w:t>. Utilizarea muncii nedeclarate</w:t>
            </w:r>
          </w:p>
        </w:tc>
      </w:tr>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eastAsia="ru-RU"/>
              </w:rPr>
            </w:pPr>
            <w:r w:rsidRPr="00A31573">
              <w:rPr>
                <w:rFonts w:ascii="Arial" w:eastAsia="Times New Roman" w:hAnsi="Arial" w:cs="Arial"/>
                <w:b/>
                <w:bCs/>
                <w:color w:val="000000"/>
                <w:sz w:val="16"/>
                <w:lang w:eastAsia="ru-RU"/>
              </w:rPr>
              <w:t>►</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Achitarea salariului sau a altor plăți fără reflectarea acestora în evidența contabilă se sancţionează, pentru fiecare persoană identificată, cu amendă de la 400 la 500 de unităţi convenţionale aplicată persoanei fizice, cu amendă de la 1000 la 1500 de unităţi convenţionale aplicată persoanei cu funcţie de răspundere, cu amendă de la 1000 la 1500 de unităţi convenţionale aplicată persoanei juridice.</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hyperlink r:id="rId6" w:history="1">
              <w:r w:rsidRPr="00A31573">
                <w:rPr>
                  <w:rFonts w:ascii="Arial" w:eastAsia="Times New Roman" w:hAnsi="Arial" w:cs="Arial"/>
                  <w:b/>
                  <w:bCs/>
                  <w:color w:val="0A8FCC"/>
                  <w:sz w:val="16"/>
                  <w:lang w:eastAsia="ru-RU"/>
                </w:rPr>
                <w:t>Codul Contravențional al RM</w:t>
              </w:r>
            </w:hyperlink>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Articolul 55</w:t>
            </w:r>
            <w:r w:rsidRPr="00A31573">
              <w:rPr>
                <w:rFonts w:ascii="Arial" w:eastAsia="Times New Roman" w:hAnsi="Arial" w:cs="Arial"/>
                <w:b/>
                <w:bCs/>
                <w:color w:val="000000"/>
                <w:sz w:val="16"/>
                <w:vertAlign w:val="superscript"/>
                <w:lang w:val="en-US" w:eastAsia="ru-RU"/>
              </w:rPr>
              <w:t>2</w:t>
            </w:r>
            <w:r w:rsidRPr="00A31573">
              <w:rPr>
                <w:rFonts w:ascii="Arial" w:eastAsia="Times New Roman" w:hAnsi="Arial" w:cs="Arial"/>
                <w:b/>
                <w:bCs/>
                <w:color w:val="000000"/>
                <w:sz w:val="16"/>
                <w:lang w:val="en-US" w:eastAsia="ru-RU"/>
              </w:rPr>
              <w:t>.  Achitarea salariului sau a altor plăți fără reflectarea acestora în evidența contabilă</w:t>
            </w:r>
          </w:p>
        </w:tc>
      </w:tr>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eastAsia="ru-RU"/>
              </w:rPr>
            </w:pPr>
            <w:r w:rsidRPr="00A31573">
              <w:rPr>
                <w:rFonts w:ascii="Arial" w:eastAsia="Times New Roman" w:hAnsi="Arial" w:cs="Arial"/>
                <w:b/>
                <w:bCs/>
                <w:color w:val="6D7274"/>
                <w:sz w:val="16"/>
                <w:lang w:eastAsia="ru-RU"/>
              </w:rPr>
              <w:t>►</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(1) Încălcarea de către angajator a legislației privind securitatea și sănătatea în muncă, dacă fapta nu constituie infracţiune, manifestată prin:</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 neevaluarea riscurilor profesionale la locurile de muncă; </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b) neinformarea salariaților cu privire la riscurile profesionale;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c) lipsa în unitatea economică a actelor în domeniul securității și sănătății în muncă, ce trebuie să fie elaborate și/sau deținute de angajator conform legislaţiei în vigoare;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d) neasigurarea salariaților cu instrucțiuni şi instruiri privind securitatea și sănătatea în muncă;</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e) atragerea la munci interzise de lege a unor categorii de salariați;</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f) admiterea la muncă a salariaților fără pregătire profesională și/sau instruirea necesare în domeniul securității și sănătății în muncă;</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g) nerespectarea obligației de stabilire pentru salariați a atribuțiilor ce le revin în domeniul securității și sănătății în muncă;</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lastRenderedPageBreak/>
              <w:t>h) nerespectarea obligației de creare și menținere a condițiilor igienice și sanitare de muncă;</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i) nerespectarea obligației de acordare gratuită a echipamentului de protecție;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j) neasigurarea condițiilor de efectuare a examenului medical periodic în modul stabilit de lege și, după caz, a testării psihologice periodice a salariaților;</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k) nerespectarea obligației de a lua măsurile necesare pentru acordarea primului ajutor, stingerea incendiilor și evacuarea lucrătorilor;</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l) nerespectarea obligației de a asigura funcționarea permanentă și corespunzătoare a sistemelor și dispozitivelor de protecție, a aparaturii de măsurare și de control, precum și a instalațiilor de captare, de reținere și de neutralizare a substanțelor nocive degajate în timpul proceselor tehnologice,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se sancționează cu amendă de la 100 la 200 de unități convenționale aplicată persoanei cu funcție de răspundere, cu amendă de la 250 la 400 de unități convenționale aplicată persoanei juridice.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(2) Aceleași încălcări săvîrșite asupra minorului se sancționează cu amendă de la 240 la 300 de unități convenționale aplicată persoanei cu funcție de răspundere, cu amendă de la 400 la 500 de unități convenționale aplicată persoanei juridice.</w:t>
            </w:r>
          </w:p>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(3) Neasigurarea comunicării, cercetării, evidenței și a raportării în modul stabilit a accidentelor de muncă produse în unitatea economică sau modificarea stării de fapt rezultată din producerea unui accident de muncă, cu excepția cazurilor în care menținerea acestei stări poate genera alte accidente de muncă ori poate pune în pericol viața accidentaților sau a altor persoane, se sancționează cu amendă de la 300 la 400 de unități convenționale aplicată persoanei cu funcție de răspundere.</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after="0" w:line="240" w:lineRule="auto"/>
              <w:jc w:val="center"/>
              <w:rPr>
                <w:rFonts w:ascii="Tahoma" w:eastAsia="Times New Roman" w:hAnsi="Tahoma" w:cs="Tahoma"/>
                <w:color w:val="6D7274"/>
                <w:sz w:val="15"/>
                <w:szCs w:val="15"/>
                <w:lang w:eastAsia="ru-RU"/>
              </w:rPr>
            </w:pPr>
            <w:hyperlink r:id="rId7" w:history="1">
              <w:r w:rsidRPr="00A31573">
                <w:rPr>
                  <w:rFonts w:ascii="Arial" w:eastAsia="Times New Roman" w:hAnsi="Arial" w:cs="Arial"/>
                  <w:b/>
                  <w:bCs/>
                  <w:color w:val="0A8FCC"/>
                  <w:sz w:val="16"/>
                  <w:lang w:eastAsia="ru-RU"/>
                </w:rPr>
                <w:t>Codul Contravențional al RM</w:t>
              </w:r>
            </w:hyperlink>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Articolul 55</w:t>
            </w:r>
            <w:r w:rsidRPr="00A31573">
              <w:rPr>
                <w:rFonts w:ascii="Arial" w:eastAsia="Times New Roman" w:hAnsi="Arial" w:cs="Arial"/>
                <w:b/>
                <w:bCs/>
                <w:color w:val="000000"/>
                <w:sz w:val="16"/>
                <w:vertAlign w:val="superscript"/>
                <w:lang w:val="en-US" w:eastAsia="ru-RU"/>
              </w:rPr>
              <w:t>3</w:t>
            </w:r>
            <w:r w:rsidRPr="00A31573">
              <w:rPr>
                <w:rFonts w:ascii="Arial" w:eastAsia="Times New Roman" w:hAnsi="Arial" w:cs="Arial"/>
                <w:b/>
                <w:bCs/>
                <w:color w:val="000000"/>
                <w:sz w:val="16"/>
                <w:lang w:val="en-US" w:eastAsia="ru-RU"/>
              </w:rPr>
              <w:t>.  Încălcarea de către angajator a legislației privind securitatea și sănătatea în muncă</w:t>
            </w:r>
          </w:p>
        </w:tc>
      </w:tr>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after="0" w:line="240" w:lineRule="auto"/>
              <w:rPr>
                <w:rFonts w:ascii="Tahoma" w:eastAsia="Times New Roman" w:hAnsi="Tahoma" w:cs="Tahoma"/>
                <w:color w:val="6D7274"/>
                <w:sz w:val="15"/>
                <w:szCs w:val="15"/>
                <w:lang w:eastAsia="ru-RU"/>
              </w:rPr>
            </w:pPr>
            <w:r w:rsidRPr="00A31573">
              <w:rPr>
                <w:rFonts w:ascii="Arial" w:eastAsia="Times New Roman" w:hAnsi="Arial" w:cs="Arial"/>
                <w:b/>
                <w:bCs/>
                <w:color w:val="000000"/>
                <w:sz w:val="16"/>
                <w:lang w:eastAsia="ru-RU"/>
              </w:rPr>
              <w:lastRenderedPageBreak/>
              <w:t>►</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Neafişarea semnului unic de  interzicere a fumatului se sancţionează cu amendă de la 150 la 180 de unităţi convenţionale aplicată persoanei cu funcţie de răspundere, cu amendă de la 210 la 240 de unităţi convenţionale aplicată persoanei juridice cu sau fără privarea de dreptul de a desfăşura o anumită activitate pe un termen de la 6 luni la un an.</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hyperlink r:id="rId8" w:history="1">
              <w:r w:rsidRPr="00A31573">
                <w:rPr>
                  <w:rFonts w:ascii="Arial" w:eastAsia="Times New Roman" w:hAnsi="Arial" w:cs="Arial"/>
                  <w:b/>
                  <w:bCs/>
                  <w:color w:val="0A8FCC"/>
                  <w:sz w:val="16"/>
                  <w:lang w:eastAsia="ru-RU"/>
                </w:rPr>
                <w:t>Codul Contravențional al RM</w:t>
              </w:r>
            </w:hyperlink>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Articolul 91.14. Neafişarea semnului unic de  interzicere a fumatului</w:t>
            </w:r>
          </w:p>
        </w:tc>
      </w:tr>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eastAsia="ru-RU"/>
              </w:rPr>
            </w:pPr>
            <w:r w:rsidRPr="00A31573">
              <w:rPr>
                <w:rFonts w:ascii="Arial" w:eastAsia="Times New Roman" w:hAnsi="Arial" w:cs="Arial"/>
                <w:b/>
                <w:bCs/>
                <w:color w:val="000000"/>
                <w:sz w:val="16"/>
                <w:lang w:eastAsia="ru-RU"/>
              </w:rPr>
              <w:t>►</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Admiterea fumatului în spaţiile publice închise şi semiînchise, inclusiv în locurile de uz comun, la locurile de muncă  şi în alte locuri în care fumatul este interzis de legislaţia în vigoare se sancţionează cu amendă de la 210 la 240 de unităţi convenţionale aplicată persoanei cu funcţie de răspundere, cu amendă de la 270 la 300 de unităţi convenţionale aplicată persoanei juridice cu privarea de dreptul de a desfăşura o anumită activitate pe un termen de la 6 luni la un an. </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hyperlink r:id="rId9" w:history="1">
              <w:r w:rsidRPr="00A31573">
                <w:rPr>
                  <w:rFonts w:ascii="Arial" w:eastAsia="Times New Roman" w:hAnsi="Arial" w:cs="Arial"/>
                  <w:b/>
                  <w:bCs/>
                  <w:color w:val="0A8FCC"/>
                  <w:sz w:val="16"/>
                  <w:lang w:eastAsia="ru-RU"/>
                </w:rPr>
                <w:t>Codul Contravențional al RM</w:t>
              </w:r>
            </w:hyperlink>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Articolul 91.15. Admiterea fumatului la locurile de muncă  şi în alte locuri în care fumatul este interzis</w:t>
            </w:r>
          </w:p>
        </w:tc>
      </w:tr>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eastAsia="ru-RU"/>
              </w:rPr>
            </w:pPr>
            <w:r w:rsidRPr="00A31573">
              <w:rPr>
                <w:rFonts w:ascii="Arial" w:eastAsia="Times New Roman" w:hAnsi="Arial" w:cs="Arial"/>
                <w:b/>
                <w:bCs/>
                <w:color w:val="000000"/>
                <w:sz w:val="16"/>
                <w:lang w:eastAsia="ru-RU"/>
              </w:rPr>
              <w:t>►</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Încălcarea regulilor de apărare împotriva incendiilor se sancționează cu amendă de la 6 la 30 de unități convenționale aplicată persoanei fizice, cu amendă de la 60 la 120 de unități convenționale aplicată persoanei cu funcție de răspundere, cu amendă de la 120 la 240 de unități convenționale aplicată persoanei juridice.</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hyperlink r:id="rId10" w:history="1">
              <w:r w:rsidRPr="00A31573">
                <w:rPr>
                  <w:rFonts w:ascii="Arial" w:eastAsia="Times New Roman" w:hAnsi="Arial" w:cs="Arial"/>
                  <w:b/>
                  <w:bCs/>
                  <w:color w:val="0A8FCC"/>
                  <w:sz w:val="16"/>
                  <w:lang w:eastAsia="ru-RU"/>
                </w:rPr>
                <w:t>Codul Contravențional al RM</w:t>
              </w:r>
            </w:hyperlink>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Articolul 358. Încălcarea regulilor de apărare împotriva incendiilor</w:t>
            </w:r>
          </w:p>
        </w:tc>
      </w:tr>
      <w:tr w:rsidR="00A31573" w:rsidRPr="00A31573" w:rsidTr="00A31573">
        <w:trPr>
          <w:tblCellSpacing w:w="7" w:type="dxa"/>
        </w:trPr>
        <w:tc>
          <w:tcPr>
            <w:tcW w:w="10771" w:type="dxa"/>
            <w:gridSpan w:val="4"/>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1"/>
              <w:rPr>
                <w:rFonts w:ascii="Tahoma" w:eastAsia="Times New Roman" w:hAnsi="Tahoma" w:cs="Tahoma"/>
                <w:color w:val="6D7274"/>
                <w:sz w:val="25"/>
                <w:szCs w:val="25"/>
                <w:lang w:eastAsia="ru-RU"/>
              </w:rPr>
            </w:pPr>
            <w:r w:rsidRPr="00A31573">
              <w:rPr>
                <w:rFonts w:ascii="Arial" w:eastAsia="Times New Roman" w:hAnsi="Arial" w:cs="Arial"/>
                <w:b/>
                <w:bCs/>
                <w:color w:val="FF0000"/>
                <w:sz w:val="19"/>
                <w:szCs w:val="19"/>
                <w:lang w:eastAsia="ru-RU"/>
              </w:rPr>
              <w:t>Răspunderea penală</w:t>
            </w:r>
          </w:p>
        </w:tc>
      </w:tr>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r w:rsidRPr="00A31573">
              <w:rPr>
                <w:rFonts w:ascii="Arial" w:eastAsia="Times New Roman" w:hAnsi="Arial" w:cs="Arial"/>
                <w:b/>
                <w:bCs/>
                <w:color w:val="000000"/>
                <w:sz w:val="16"/>
                <w:lang w:eastAsia="ru-RU"/>
              </w:rPr>
              <w:t>►</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Încălcarea de către o persoană cu funcţie de răspundere ori de către o persoană care gestionează o organizaţie comercială, obştească sau altă organizaţie nestatală a tehnicii securităţii, a igienei industriale sau a altor reguli de protecţie a muncii, dacă această încălcare a provocat accidente cu oameni sau alte urmări grave, se pedepseşte cu amendă în mărime de la 500 la 850 unităţi convenţionale sau cu muncă neremunerată în folosul comunităţii de la 100 la 200 de ore, sau cu închisoare de pînă la 2 ani.</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hyperlink r:id="rId11" w:history="1">
              <w:r w:rsidRPr="00A31573">
                <w:rPr>
                  <w:rFonts w:ascii="Arial" w:eastAsia="Times New Roman" w:hAnsi="Arial" w:cs="Arial"/>
                  <w:b/>
                  <w:bCs/>
                  <w:color w:val="0A8FCC"/>
                  <w:sz w:val="16"/>
                  <w:lang w:eastAsia="ru-RU"/>
                </w:rPr>
                <w:t>Codul Penal al RM</w:t>
              </w:r>
            </w:hyperlink>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Articolul 183.1. Încălcarea regulilor de protecţie a muncii</w:t>
            </w:r>
          </w:p>
        </w:tc>
      </w:tr>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r w:rsidRPr="00A31573">
              <w:rPr>
                <w:rFonts w:ascii="Arial" w:eastAsia="Times New Roman" w:hAnsi="Arial" w:cs="Arial"/>
                <w:b/>
                <w:bCs/>
                <w:color w:val="000000"/>
                <w:sz w:val="16"/>
                <w:lang w:eastAsia="ru-RU"/>
              </w:rPr>
              <w:t>►</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Încălcarea de către o persoană cu funcţie de răspundere ori de către o persoană care gestionează o organizaţie comercială, obştească sau altă organizaţie nestatală a tehnicii securităţii, a igienei industriale sau a altor reguli de protecţie a muncii, dacă această încălcare a provocat  din imprudenţă decesul unei persoane se pedepseşte cu închisoare de la 2 la 6 ani cu privarea de dreptul de a ocupa anumite funcţii sau de a exercita o anumită activitate pe un termen de pînă la 3 ani.</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hyperlink r:id="rId12" w:history="1">
              <w:r w:rsidRPr="00A31573">
                <w:rPr>
                  <w:rFonts w:ascii="Arial" w:eastAsia="Times New Roman" w:hAnsi="Arial" w:cs="Arial"/>
                  <w:b/>
                  <w:bCs/>
                  <w:color w:val="0A8FCC"/>
                  <w:sz w:val="16"/>
                  <w:lang w:eastAsia="ru-RU"/>
                </w:rPr>
                <w:t>Codul Penal al RM</w:t>
              </w:r>
            </w:hyperlink>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Articolul 183.2. Încălcarea regulilor de protecţie a muncii</w:t>
            </w:r>
          </w:p>
        </w:tc>
      </w:tr>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r w:rsidRPr="00A31573">
              <w:rPr>
                <w:rFonts w:ascii="Arial" w:eastAsia="Times New Roman" w:hAnsi="Arial" w:cs="Arial"/>
                <w:b/>
                <w:bCs/>
                <w:color w:val="000000"/>
                <w:sz w:val="16"/>
                <w:lang w:eastAsia="ru-RU"/>
              </w:rPr>
              <w:t>►</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Neîndeplinirea dispoziţiilor organelor de stat de supraveghere antiincendiară, precum şi încălcarea cu rea-voinţă a regulilor de protecţie contra incendiilor, dacă acestea au provocat urmări grave,se pedepsesc cu amendă în mărime de la 550 la 850 unităţi convenţionale sau cu închisoare de pînă la 2 ani.</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eastAsia="ru-RU"/>
              </w:rPr>
            </w:pPr>
            <w:hyperlink r:id="rId13" w:history="1">
              <w:r w:rsidRPr="00A31573">
                <w:rPr>
                  <w:rFonts w:ascii="Arial" w:eastAsia="Times New Roman" w:hAnsi="Arial" w:cs="Arial"/>
                  <w:b/>
                  <w:bCs/>
                  <w:color w:val="0A8FCC"/>
                  <w:sz w:val="16"/>
                  <w:lang w:eastAsia="ru-RU"/>
                </w:rPr>
                <w:t>Codul Penal al RM</w:t>
              </w:r>
            </w:hyperlink>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Articolul 296. Încălcarea regulilor de protecţie contra incendiilor</w:t>
            </w:r>
          </w:p>
        </w:tc>
      </w:tr>
      <w:tr w:rsidR="00A31573" w:rsidRPr="00A31573" w:rsidTr="00A31573">
        <w:trPr>
          <w:tblCellSpacing w:w="7" w:type="dxa"/>
        </w:trPr>
        <w:tc>
          <w:tcPr>
            <w:tcW w:w="10771" w:type="dxa"/>
            <w:gridSpan w:val="4"/>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1"/>
              <w:rPr>
                <w:rFonts w:ascii="Tahoma" w:eastAsia="Times New Roman" w:hAnsi="Tahoma" w:cs="Tahoma"/>
                <w:color w:val="6D7274"/>
                <w:sz w:val="25"/>
                <w:szCs w:val="25"/>
                <w:lang w:eastAsia="ru-RU"/>
              </w:rPr>
            </w:pPr>
            <w:r w:rsidRPr="00A31573">
              <w:rPr>
                <w:rFonts w:ascii="Arial" w:eastAsia="Times New Roman" w:hAnsi="Arial" w:cs="Arial"/>
                <w:b/>
                <w:bCs/>
                <w:color w:val="FF0000"/>
                <w:sz w:val="19"/>
                <w:szCs w:val="19"/>
                <w:lang w:eastAsia="ru-RU"/>
              </w:rPr>
              <w:t>Indemnizatia unica</w:t>
            </w:r>
          </w:p>
        </w:tc>
      </w:tr>
      <w:tr w:rsidR="00A31573" w:rsidRPr="00A31573" w:rsidTr="00A31573">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after="0" w:line="240" w:lineRule="auto"/>
              <w:jc w:val="center"/>
              <w:rPr>
                <w:rFonts w:ascii="Tahoma" w:eastAsia="Times New Roman" w:hAnsi="Tahoma" w:cs="Tahoma"/>
                <w:color w:val="6D7274"/>
                <w:sz w:val="15"/>
                <w:szCs w:val="15"/>
                <w:lang w:eastAsia="ru-RU"/>
              </w:rPr>
            </w:pPr>
            <w:r w:rsidRPr="00A31573">
              <w:rPr>
                <w:rFonts w:ascii="Arial" w:eastAsia="Times New Roman" w:hAnsi="Arial" w:cs="Arial"/>
                <w:b/>
                <w:bCs/>
                <w:color w:val="000000"/>
                <w:sz w:val="16"/>
                <w:lang w:eastAsia="ru-RU"/>
              </w:rPr>
              <w:t>►</w:t>
            </w:r>
          </w:p>
        </w:tc>
        <w:tc>
          <w:tcPr>
            <w:tcW w:w="6267" w:type="dxa"/>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both"/>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(1) Lucrătorului căruia i s-a evaluat procentul capacităţii de muncă păstrată ca urmare a unui accident de muncă sau a unei boli profesionale i se plăteşte, din contul unităţii care poartă vina pentru accidentul de muncă sau pentru boala profesională, pe lîngă despăgubirea stabilită de lege, o indemnizaţie unică, luîndu-se ca bază salariul mediu lunar pe ţară, pentru fiecare procent de pierdere a capacităţii de muncă, dar nu mai puţin de un salariu anual al accidentatului.</w:t>
            </w:r>
            <w:r w:rsidRPr="00A31573">
              <w:rPr>
                <w:rFonts w:ascii="Arial" w:eastAsia="Times New Roman" w:hAnsi="Arial" w:cs="Arial"/>
                <w:b/>
                <w:bCs/>
                <w:color w:val="000000"/>
                <w:sz w:val="16"/>
                <w:szCs w:val="16"/>
                <w:lang w:val="en-US" w:eastAsia="ru-RU"/>
              </w:rPr>
              <w:br/>
            </w:r>
            <w:r w:rsidRPr="00A31573">
              <w:rPr>
                <w:rFonts w:ascii="Arial" w:eastAsia="Times New Roman" w:hAnsi="Arial" w:cs="Arial"/>
                <w:b/>
                <w:bCs/>
                <w:color w:val="000000"/>
                <w:sz w:val="16"/>
                <w:lang w:val="en-US" w:eastAsia="ru-RU"/>
              </w:rPr>
              <w:t xml:space="preserve">(2) În caz de deces al lucrătorului în urma unui accident de muncă sau a unei boli </w:t>
            </w:r>
            <w:r w:rsidRPr="00A31573">
              <w:rPr>
                <w:rFonts w:ascii="Arial" w:eastAsia="Times New Roman" w:hAnsi="Arial" w:cs="Arial"/>
                <w:b/>
                <w:bCs/>
                <w:color w:val="000000"/>
                <w:sz w:val="16"/>
                <w:lang w:val="en-US" w:eastAsia="ru-RU"/>
              </w:rPr>
              <w:lastRenderedPageBreak/>
              <w:t>profesionale, unitatea care poartă vina pentru accidentul de muncă sau pentru boala profesională repară prejudiciul material persoanelor care au dreptul la aceasta, în modul şi în mărimea stabilită de lege, şi, în plus, le plăteşte, din contul mijloacelor proprii, o indemnizaţie unică, luîndu-se ca bază salariul mediu anual al celui decedat, înmulţit la numărul anilor compleţi pe care acesta nu i-a trăit pînă la vîrsta de  62 de ani, dar nu mai puţin de 10 salarii medii anuale.</w:t>
            </w:r>
            <w:r w:rsidRPr="00A31573">
              <w:rPr>
                <w:rFonts w:ascii="Arial" w:eastAsia="Times New Roman" w:hAnsi="Arial" w:cs="Arial"/>
                <w:b/>
                <w:bCs/>
                <w:color w:val="000000"/>
                <w:sz w:val="16"/>
                <w:szCs w:val="16"/>
                <w:lang w:val="en-US" w:eastAsia="ru-RU"/>
              </w:rPr>
              <w:br/>
            </w:r>
            <w:r w:rsidRPr="00A31573">
              <w:rPr>
                <w:rFonts w:ascii="Arial" w:eastAsia="Times New Roman" w:hAnsi="Arial" w:cs="Arial"/>
                <w:b/>
                <w:bCs/>
                <w:color w:val="000000"/>
                <w:sz w:val="16"/>
                <w:lang w:val="en-US" w:eastAsia="ru-RU"/>
              </w:rPr>
              <w:t>(3) Plata indemnizaţiei unice prevăzută la alin.(1) şi alin.(2) se efectuează începînd cu data de 30 mai 2008.</w:t>
            </w:r>
            <w:r w:rsidRPr="00A31573">
              <w:rPr>
                <w:rFonts w:ascii="Arial" w:eastAsia="Times New Roman" w:hAnsi="Arial" w:cs="Arial"/>
                <w:b/>
                <w:bCs/>
                <w:color w:val="000000"/>
                <w:sz w:val="16"/>
                <w:szCs w:val="16"/>
                <w:lang w:val="en-US" w:eastAsia="ru-RU"/>
              </w:rPr>
              <w:br/>
            </w:r>
            <w:r w:rsidRPr="00A31573">
              <w:rPr>
                <w:rFonts w:ascii="Arial" w:eastAsia="Times New Roman" w:hAnsi="Arial" w:cs="Arial"/>
                <w:b/>
                <w:bCs/>
                <w:color w:val="000000"/>
                <w:sz w:val="16"/>
                <w:lang w:val="en-US" w:eastAsia="ru-RU"/>
              </w:rPr>
              <w:t>(4) Dacă reducerea capacităţii de muncă sau decesul lucrătorului a survenit în urma unui accident de muncă nu numai din vina unităţii ci şi a accidentatului, se aplică răspunderea mixtă conform legii şi mărimea indemnizaţiei unice se reduce în dependenţă de gradul de vinovăţie a accidentatului.</w:t>
            </w:r>
            <w:r w:rsidRPr="00A31573">
              <w:rPr>
                <w:rFonts w:ascii="Arial" w:eastAsia="Times New Roman" w:hAnsi="Arial" w:cs="Arial"/>
                <w:b/>
                <w:bCs/>
                <w:color w:val="000000"/>
                <w:sz w:val="16"/>
                <w:szCs w:val="16"/>
                <w:lang w:val="en-US" w:eastAsia="ru-RU"/>
              </w:rPr>
              <w:br/>
            </w:r>
            <w:r w:rsidRPr="00A31573">
              <w:rPr>
                <w:rFonts w:ascii="Arial" w:eastAsia="Times New Roman" w:hAnsi="Arial" w:cs="Arial"/>
                <w:b/>
                <w:bCs/>
                <w:color w:val="000000"/>
                <w:sz w:val="16"/>
                <w:lang w:val="en-US" w:eastAsia="ru-RU"/>
              </w:rPr>
              <w:t>(5) Indemnizaţia unică se plăteşte persoanelor care au dreptul la aceasta de către unitatea care poartă vina pentru accidentul de muncă sau pentru boala profesională, în modul stabilit de Guvern.</w:t>
            </w:r>
            <w:r w:rsidRPr="00A31573">
              <w:rPr>
                <w:rFonts w:ascii="Arial" w:eastAsia="Times New Roman" w:hAnsi="Arial" w:cs="Arial"/>
                <w:b/>
                <w:bCs/>
                <w:color w:val="000000"/>
                <w:sz w:val="16"/>
                <w:szCs w:val="16"/>
                <w:lang w:val="en-US" w:eastAsia="ru-RU"/>
              </w:rPr>
              <w:br/>
            </w:r>
            <w:r w:rsidRPr="00A31573">
              <w:rPr>
                <w:rFonts w:ascii="Arial" w:eastAsia="Times New Roman" w:hAnsi="Arial" w:cs="Arial"/>
                <w:b/>
                <w:bCs/>
                <w:color w:val="000000"/>
                <w:sz w:val="16"/>
                <w:lang w:val="en-US" w:eastAsia="ru-RU"/>
              </w:rPr>
              <w:t>(6) În cazul în care unitatea nu dispune de mijloacele respective, plata indemnizaţiei unice se efectuează, în baza hotărîrii instanţei judecătoreşti, din contul oricăror bunuri sau mijloace ale unităţii.</w:t>
            </w:r>
            <w:r w:rsidRPr="00A31573">
              <w:rPr>
                <w:rFonts w:ascii="Arial" w:eastAsia="Times New Roman" w:hAnsi="Arial" w:cs="Arial"/>
                <w:b/>
                <w:bCs/>
                <w:color w:val="000000"/>
                <w:sz w:val="16"/>
                <w:szCs w:val="16"/>
                <w:lang w:val="en-US" w:eastAsia="ru-RU"/>
              </w:rPr>
              <w:br/>
            </w:r>
            <w:r w:rsidRPr="00A31573">
              <w:rPr>
                <w:rFonts w:ascii="Arial" w:eastAsia="Times New Roman" w:hAnsi="Arial" w:cs="Arial"/>
                <w:b/>
                <w:bCs/>
                <w:color w:val="000000"/>
                <w:sz w:val="16"/>
                <w:lang w:val="en-US" w:eastAsia="ru-RU"/>
              </w:rPr>
              <w:t>(7) Litigiile ce ţin de achitarea indemnizaţiei unice se examinează de către instanţa judecătorească.</w:t>
            </w:r>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jc w:val="center"/>
              <w:outlineLvl w:val="2"/>
              <w:rPr>
                <w:rFonts w:ascii="Tahoma" w:eastAsia="Times New Roman" w:hAnsi="Tahoma" w:cs="Tahoma"/>
                <w:color w:val="6D7274"/>
                <w:lang w:val="en-US" w:eastAsia="ru-RU"/>
              </w:rPr>
            </w:pPr>
            <w:hyperlink r:id="rId14" w:tgtFrame="_blank" w:history="1">
              <w:r w:rsidRPr="00A31573">
                <w:rPr>
                  <w:rFonts w:ascii="Arial" w:eastAsia="Times New Roman" w:hAnsi="Arial" w:cs="Arial"/>
                  <w:b/>
                  <w:bCs/>
                  <w:color w:val="0A8FCC"/>
                  <w:sz w:val="16"/>
                  <w:lang w:val="en-US" w:eastAsia="ru-RU"/>
                </w:rPr>
                <w:t>Legea securităţii şi sănătăţii în muncă Nr. 186-XVI din 10 iulie 2008</w:t>
              </w:r>
            </w:hyperlink>
          </w:p>
        </w:tc>
        <w:tc>
          <w:tcPr>
            <w:tcW w:w="0" w:type="auto"/>
            <w:tcBorders>
              <w:top w:val="outset" w:sz="6" w:space="0" w:color="auto"/>
              <w:left w:val="outset" w:sz="6" w:space="0" w:color="auto"/>
              <w:bottom w:val="outset" w:sz="6" w:space="0" w:color="auto"/>
              <w:right w:val="outset" w:sz="6" w:space="0" w:color="auto"/>
            </w:tcBorders>
            <w:shd w:val="clear" w:color="auto" w:fill="ECEDEE"/>
            <w:vAlign w:val="center"/>
            <w:hideMark/>
          </w:tcPr>
          <w:p w:rsidR="00A31573" w:rsidRPr="00A31573" w:rsidRDefault="00A31573" w:rsidP="00A31573">
            <w:pPr>
              <w:spacing w:before="59" w:after="59" w:line="240" w:lineRule="auto"/>
              <w:outlineLvl w:val="2"/>
              <w:rPr>
                <w:rFonts w:ascii="Tahoma" w:eastAsia="Times New Roman" w:hAnsi="Tahoma" w:cs="Tahoma"/>
                <w:color w:val="6D7274"/>
                <w:lang w:val="en-US" w:eastAsia="ru-RU"/>
              </w:rPr>
            </w:pPr>
            <w:r w:rsidRPr="00A31573">
              <w:rPr>
                <w:rFonts w:ascii="Arial" w:eastAsia="Times New Roman" w:hAnsi="Arial" w:cs="Arial"/>
                <w:b/>
                <w:bCs/>
                <w:color w:val="000000"/>
                <w:sz w:val="16"/>
                <w:lang w:val="en-US" w:eastAsia="ru-RU"/>
              </w:rPr>
              <w:t>Articolul18. Indemnizaţia unică în cazul reducerii capacităţii de muncă sau decesului lucrătorului în urma unui accident de muncă sau a unei boli profesionale</w:t>
            </w:r>
          </w:p>
        </w:tc>
      </w:tr>
    </w:tbl>
    <w:p w:rsidR="00A31573" w:rsidRPr="00A31573" w:rsidRDefault="00A31573" w:rsidP="00A31573">
      <w:pPr>
        <w:shd w:val="clear" w:color="auto" w:fill="ECEDEE"/>
        <w:spacing w:before="100" w:beforeAutospacing="1" w:after="100" w:afterAutospacing="1" w:line="240" w:lineRule="auto"/>
        <w:rPr>
          <w:rFonts w:ascii="Tahoma" w:eastAsia="Times New Roman" w:hAnsi="Tahoma" w:cs="Tahoma"/>
          <w:color w:val="6D7274"/>
          <w:sz w:val="15"/>
          <w:szCs w:val="15"/>
          <w:lang w:val="en-US" w:eastAsia="ru-RU"/>
        </w:rPr>
      </w:pPr>
      <w:r w:rsidRPr="00A31573">
        <w:rPr>
          <w:rFonts w:ascii="Arial" w:eastAsia="Times New Roman" w:hAnsi="Arial" w:cs="Arial"/>
          <w:b/>
          <w:bCs/>
          <w:color w:val="FF0000"/>
          <w:sz w:val="19"/>
          <w:lang w:val="en-US" w:eastAsia="ru-RU"/>
        </w:rPr>
        <w:lastRenderedPageBreak/>
        <w:t>* Începînd cu 16.03.2017 o unitate convențională este egală cu 50 lei.</w:t>
      </w:r>
    </w:p>
    <w:p w:rsidR="00B77504" w:rsidRPr="00A31573" w:rsidRDefault="00B77504">
      <w:pPr>
        <w:rPr>
          <w:lang w:val="en-US"/>
        </w:rPr>
      </w:pPr>
    </w:p>
    <w:sectPr w:rsidR="00B77504" w:rsidRPr="00A31573" w:rsidSect="00B775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grammar="clean"/>
  <w:defaultTabStop w:val="708"/>
  <w:characterSpacingControl w:val="doNotCompress"/>
  <w:compat/>
  <w:rsids>
    <w:rsidRoot w:val="00A31573"/>
    <w:rsid w:val="00A31573"/>
    <w:rsid w:val="00B775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504"/>
  </w:style>
  <w:style w:type="paragraph" w:styleId="1">
    <w:name w:val="heading 1"/>
    <w:basedOn w:val="a"/>
    <w:link w:val="10"/>
    <w:uiPriority w:val="9"/>
    <w:qFormat/>
    <w:rsid w:val="00A3157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3157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A3157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157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3157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31573"/>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A315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31573"/>
    <w:rPr>
      <w:b/>
      <w:bCs/>
    </w:rPr>
  </w:style>
  <w:style w:type="character" w:styleId="a5">
    <w:name w:val="Hyperlink"/>
    <w:basedOn w:val="a0"/>
    <w:uiPriority w:val="99"/>
    <w:semiHidden/>
    <w:unhideWhenUsed/>
    <w:rsid w:val="00A31573"/>
    <w:rPr>
      <w:color w:val="0000FF"/>
      <w:u w:val="single"/>
    </w:rPr>
  </w:style>
</w:styles>
</file>

<file path=word/webSettings.xml><?xml version="1.0" encoding="utf-8"?>
<w:webSettings xmlns:r="http://schemas.openxmlformats.org/officeDocument/2006/relationships" xmlns:w="http://schemas.openxmlformats.org/wordprocessingml/2006/main">
  <w:divs>
    <w:div w:id="204105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x.justice.md/md/330333/" TargetMode="External"/><Relationship Id="rId13" Type="http://schemas.openxmlformats.org/officeDocument/2006/relationships/hyperlink" Target="http://lex.justice.md/md/331268/" TargetMode="External"/><Relationship Id="rId3" Type="http://schemas.openxmlformats.org/officeDocument/2006/relationships/webSettings" Target="webSettings.xml"/><Relationship Id="rId7" Type="http://schemas.openxmlformats.org/officeDocument/2006/relationships/hyperlink" Target="http://lex.justice.md/md/330333/" TargetMode="External"/><Relationship Id="rId12" Type="http://schemas.openxmlformats.org/officeDocument/2006/relationships/hyperlink" Target="http://lex.justice.md/md/331268/"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lex.justice.md/md/330333/" TargetMode="External"/><Relationship Id="rId11" Type="http://schemas.openxmlformats.org/officeDocument/2006/relationships/hyperlink" Target="http://lex.justice.md/md/331268/" TargetMode="External"/><Relationship Id="rId5" Type="http://schemas.openxmlformats.org/officeDocument/2006/relationships/hyperlink" Target="http://lex.justice.md/md/330333/" TargetMode="External"/><Relationship Id="rId15" Type="http://schemas.openxmlformats.org/officeDocument/2006/relationships/fontTable" Target="fontTable.xml"/><Relationship Id="rId10" Type="http://schemas.openxmlformats.org/officeDocument/2006/relationships/hyperlink" Target="http://lex.justice.md/md/330333/" TargetMode="External"/><Relationship Id="rId4" Type="http://schemas.openxmlformats.org/officeDocument/2006/relationships/hyperlink" Target="http://lex.justice.md/md/330333/" TargetMode="External"/><Relationship Id="rId9" Type="http://schemas.openxmlformats.org/officeDocument/2006/relationships/hyperlink" Target="http://lex.justice.md/md/330333/" TargetMode="External"/><Relationship Id="rId14" Type="http://schemas.openxmlformats.org/officeDocument/2006/relationships/hyperlink" Target="http://lex.justice.md/index.php?action=view&amp;view=doc&amp;lang=1&amp;id=3287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1808</Words>
  <Characters>10312</Characters>
  <Application>Microsoft Office Word</Application>
  <DocSecurity>0</DocSecurity>
  <Lines>85</Lines>
  <Paragraphs>24</Paragraphs>
  <ScaleCrop>false</ScaleCrop>
  <Company/>
  <LinksUpToDate>false</LinksUpToDate>
  <CharactersWithSpaces>12096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 Darii</dc:creator>
  <cp:keywords/>
  <dc:description/>
  <cp:lastModifiedBy>Ion Darii</cp:lastModifiedBy>
  <cp:revision>2</cp:revision>
  <dcterms:created xsi:type="dcterms:W3CDTF">2018-04-27T15:13:00Z</dcterms:created>
  <dcterms:modified xsi:type="dcterms:W3CDTF">2018-04-27T15:13:00Z</dcterms:modified>
</cp:coreProperties>
</file>